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D3E4" w14:textId="17EC3FFC" w:rsidR="005B74DB" w:rsidRPr="00786B3D" w:rsidRDefault="00786B3D" w:rsidP="00786B3D">
      <w:pPr>
        <w:tabs>
          <w:tab w:val="left" w:pos="720"/>
        </w:tabs>
        <w:rPr>
          <w:b/>
          <w:sz w:val="28"/>
          <w:szCs w:val="28"/>
        </w:rPr>
      </w:pPr>
      <w:r w:rsidRPr="00786B3D">
        <w:rPr>
          <w:b/>
          <w:sz w:val="28"/>
          <w:szCs w:val="28"/>
        </w:rPr>
        <w:t>Transition Assessment</w:t>
      </w:r>
      <w:r w:rsidR="00B277B6">
        <w:rPr>
          <w:b/>
          <w:sz w:val="28"/>
          <w:szCs w:val="28"/>
        </w:rPr>
        <w:t>s</w:t>
      </w:r>
      <w:r w:rsidRPr="00786B3D">
        <w:rPr>
          <w:b/>
          <w:sz w:val="28"/>
          <w:szCs w:val="28"/>
        </w:rPr>
        <w:t xml:space="preserve"> Chart</w:t>
      </w:r>
      <w:r>
        <w:rPr>
          <w:b/>
          <w:sz w:val="28"/>
          <w:szCs w:val="28"/>
        </w:rPr>
        <w:t>: Formal and Informal</w:t>
      </w:r>
      <w:r w:rsidR="00F76145">
        <w:rPr>
          <w:b/>
          <w:sz w:val="28"/>
          <w:szCs w:val="28"/>
        </w:rPr>
        <w:t xml:space="preserve">                                     </w:t>
      </w:r>
      <w:r w:rsidR="00F76145">
        <w:rPr>
          <w:b/>
          <w:noProof/>
          <w:sz w:val="28"/>
          <w:szCs w:val="28"/>
        </w:rPr>
        <w:drawing>
          <wp:inline distT="0" distB="0" distL="0" distR="0" wp14:anchorId="125042EE" wp14:editId="0DAD1B2C">
            <wp:extent cx="1430655" cy="370717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771" cy="37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2"/>
        <w:tblW w:w="10710" w:type="dxa"/>
        <w:jc w:val="center"/>
        <w:tblLook w:val="04A0" w:firstRow="1" w:lastRow="0" w:firstColumn="1" w:lastColumn="0" w:noHBand="0" w:noVBand="1"/>
      </w:tblPr>
      <w:tblGrid>
        <w:gridCol w:w="1427"/>
        <w:gridCol w:w="9283"/>
      </w:tblGrid>
      <w:tr w:rsidR="00786B3D" w:rsidRPr="00786B3D" w14:paraId="192C6B8D" w14:textId="77777777" w:rsidTr="00786B3D">
        <w:trPr>
          <w:jc w:val="center"/>
        </w:trPr>
        <w:tc>
          <w:tcPr>
            <w:tcW w:w="10710" w:type="dxa"/>
            <w:gridSpan w:val="2"/>
          </w:tcPr>
          <w:p w14:paraId="3F32C13F" w14:textId="77777777" w:rsidR="00786B3D" w:rsidRPr="00151F23" w:rsidRDefault="00786B3D" w:rsidP="000C57F3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  <w:r w:rsidRPr="00786B3D">
              <w:rPr>
                <w:rFonts w:eastAsiaTheme="minorHAnsi"/>
                <w:b/>
                <w:sz w:val="24"/>
                <w:szCs w:val="24"/>
              </w:rPr>
              <w:t>Formal Assessments</w:t>
            </w:r>
            <w:r w:rsidR="00151F23">
              <w:rPr>
                <w:rFonts w:eastAsiaTheme="minorHAnsi"/>
                <w:b/>
                <w:sz w:val="24"/>
                <w:szCs w:val="24"/>
              </w:rPr>
              <w:t xml:space="preserve">: </w:t>
            </w:r>
            <w:r w:rsidR="000C57F3">
              <w:rPr>
                <w:rFonts w:cstheme="minorHAnsi"/>
                <w:bCs/>
                <w:color w:val="202124"/>
                <w:sz w:val="24"/>
                <w:szCs w:val="24"/>
                <w:shd w:val="clear" w:color="auto" w:fill="FFFFFF"/>
              </w:rPr>
              <w:t>A</w:t>
            </w:r>
            <w:r w:rsidR="00C721B0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re systematic, data-based tests that measure what and how well the students have learned.  They determine the students' proficiency or mastery of the content, and </w:t>
            </w:r>
            <w:r w:rsidR="00B277B6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most </w:t>
            </w:r>
            <w:r w:rsidR="00C721B0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often have standardized </w:t>
            </w:r>
            <w:r w:rsidR="00C656D4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procedures that</w:t>
            </w:r>
            <w:r w:rsidR="00C721B0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enable comparisons </w:t>
            </w:r>
            <w:r w:rsidR="000C57F3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across groups of assessment takers</w:t>
            </w:r>
            <w:r w:rsidR="00C721B0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6B3D" w:rsidRPr="00786B3D" w14:paraId="63968C92" w14:textId="77777777" w:rsidTr="009E7AE2">
        <w:trPr>
          <w:jc w:val="center"/>
        </w:trPr>
        <w:tc>
          <w:tcPr>
            <w:tcW w:w="1427" w:type="dxa"/>
          </w:tcPr>
          <w:p w14:paraId="5826B5A5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b/>
                <w:sz w:val="24"/>
                <w:szCs w:val="24"/>
              </w:rPr>
            </w:pPr>
            <w:r w:rsidRPr="00786B3D">
              <w:rPr>
                <w:rFonts w:eastAsiaTheme="minorHAnsi"/>
                <w:b/>
                <w:sz w:val="24"/>
                <w:szCs w:val="24"/>
              </w:rPr>
              <w:t>Type</w:t>
            </w:r>
          </w:p>
        </w:tc>
        <w:tc>
          <w:tcPr>
            <w:tcW w:w="9283" w:type="dxa"/>
          </w:tcPr>
          <w:p w14:paraId="60136856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b/>
                <w:sz w:val="24"/>
                <w:szCs w:val="24"/>
              </w:rPr>
            </w:pPr>
            <w:r w:rsidRPr="00786B3D">
              <w:rPr>
                <w:rFonts w:eastAsiaTheme="minorHAnsi"/>
                <w:b/>
                <w:sz w:val="24"/>
                <w:szCs w:val="24"/>
              </w:rPr>
              <w:t>Examples</w:t>
            </w:r>
          </w:p>
        </w:tc>
      </w:tr>
      <w:tr w:rsidR="00786B3D" w:rsidRPr="00786B3D" w14:paraId="39B688BE" w14:textId="77777777" w:rsidTr="009E7AE2">
        <w:trPr>
          <w:trHeight w:val="413"/>
          <w:jc w:val="center"/>
        </w:trPr>
        <w:tc>
          <w:tcPr>
            <w:tcW w:w="1427" w:type="dxa"/>
            <w:vMerge w:val="restart"/>
          </w:tcPr>
          <w:p w14:paraId="219BBB5F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786B3D">
              <w:rPr>
                <w:rFonts w:eastAsiaTheme="minorHAnsi"/>
                <w:sz w:val="22"/>
                <w:szCs w:val="22"/>
              </w:rPr>
              <w:t>Intelligence Tests</w:t>
            </w:r>
          </w:p>
          <w:p w14:paraId="6E6FE86D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14:paraId="56349149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5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Wechsler Intelligence Scale for Children, Fourth Edition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(WISC-IV) (For Purchase) </w:t>
            </w:r>
          </w:p>
        </w:tc>
      </w:tr>
      <w:tr w:rsidR="00786B3D" w:rsidRPr="00786B3D" w14:paraId="31FA1F71" w14:textId="77777777" w:rsidTr="009E7AE2">
        <w:trPr>
          <w:trHeight w:val="440"/>
          <w:jc w:val="center"/>
        </w:trPr>
        <w:tc>
          <w:tcPr>
            <w:tcW w:w="1427" w:type="dxa"/>
            <w:vMerge/>
          </w:tcPr>
          <w:p w14:paraId="2AA8B817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14:paraId="25AB26BE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6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Woodcock-Johnson Tests of Cognitive Ability-Third Edition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(WJ-III COG) (For Purchase)</w:t>
            </w:r>
          </w:p>
        </w:tc>
      </w:tr>
      <w:tr w:rsidR="00786B3D" w:rsidRPr="00786B3D" w14:paraId="6D399410" w14:textId="77777777" w:rsidTr="009E7AE2">
        <w:trPr>
          <w:trHeight w:val="440"/>
          <w:jc w:val="center"/>
        </w:trPr>
        <w:tc>
          <w:tcPr>
            <w:tcW w:w="1427" w:type="dxa"/>
            <w:vMerge/>
          </w:tcPr>
          <w:p w14:paraId="6394F26A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14:paraId="6424A778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7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Stanford-Binet Intelligence Scales, Fifth Edition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 </w:t>
            </w:r>
          </w:p>
        </w:tc>
      </w:tr>
      <w:tr w:rsidR="00786B3D" w:rsidRPr="00786B3D" w14:paraId="543A8AE4" w14:textId="77777777" w:rsidTr="009E7AE2">
        <w:trPr>
          <w:trHeight w:val="440"/>
          <w:jc w:val="center"/>
        </w:trPr>
        <w:tc>
          <w:tcPr>
            <w:tcW w:w="1427" w:type="dxa"/>
            <w:vMerge w:val="restart"/>
          </w:tcPr>
          <w:p w14:paraId="54F2121D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786B3D">
              <w:rPr>
                <w:rFonts w:eastAsiaTheme="minorHAnsi"/>
                <w:sz w:val="22"/>
                <w:szCs w:val="22"/>
              </w:rPr>
              <w:t>Achievement Tests</w:t>
            </w:r>
          </w:p>
        </w:tc>
        <w:tc>
          <w:tcPr>
            <w:tcW w:w="9283" w:type="dxa"/>
          </w:tcPr>
          <w:p w14:paraId="65ADB661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8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Kaufman Test of Educational Achievement, Third Edition</w:t>
              </w:r>
            </w:hyperlink>
            <w:r w:rsidR="00786B3D">
              <w:rPr>
                <w:rFonts w:eastAsiaTheme="minorHAnsi"/>
                <w:sz w:val="22"/>
                <w:szCs w:val="22"/>
              </w:rPr>
              <w:t xml:space="preserve"> (KTEA-3) (For Purchase)</w:t>
            </w:r>
          </w:p>
        </w:tc>
      </w:tr>
      <w:tr w:rsidR="00786B3D" w:rsidRPr="00786B3D" w14:paraId="33B26B8E" w14:textId="77777777" w:rsidTr="009E7AE2">
        <w:trPr>
          <w:trHeight w:val="440"/>
          <w:jc w:val="center"/>
        </w:trPr>
        <w:tc>
          <w:tcPr>
            <w:tcW w:w="1427" w:type="dxa"/>
            <w:vMerge/>
          </w:tcPr>
          <w:p w14:paraId="64EF3CFE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14:paraId="4903D941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9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Stanford Achievement Test Series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 </w:t>
            </w:r>
          </w:p>
        </w:tc>
      </w:tr>
      <w:tr w:rsidR="00786B3D" w:rsidRPr="00786B3D" w14:paraId="696C376E" w14:textId="77777777" w:rsidTr="009E7AE2">
        <w:trPr>
          <w:trHeight w:val="350"/>
          <w:jc w:val="center"/>
        </w:trPr>
        <w:tc>
          <w:tcPr>
            <w:tcW w:w="1427" w:type="dxa"/>
            <w:vMerge/>
          </w:tcPr>
          <w:p w14:paraId="5ED4F15D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14:paraId="2A3C6144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0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Woodcock-Johnson IV Tests of Achievement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786B3D" w:rsidRPr="00786B3D" w14:paraId="33A8DDDF" w14:textId="77777777" w:rsidTr="009E7AE2">
        <w:trPr>
          <w:trHeight w:val="350"/>
          <w:jc w:val="center"/>
        </w:trPr>
        <w:tc>
          <w:tcPr>
            <w:tcW w:w="1427" w:type="dxa"/>
            <w:vMerge w:val="restart"/>
          </w:tcPr>
          <w:p w14:paraId="77976CF8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786B3D">
              <w:rPr>
                <w:rFonts w:eastAsiaTheme="minorHAnsi"/>
                <w:sz w:val="22"/>
                <w:szCs w:val="22"/>
              </w:rPr>
              <w:t>Adaptive Behavior and Independent Living Tests</w:t>
            </w:r>
          </w:p>
        </w:tc>
        <w:tc>
          <w:tcPr>
            <w:tcW w:w="9283" w:type="dxa"/>
          </w:tcPr>
          <w:p w14:paraId="073C6986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1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Brigance Transition Skills Inventory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786B3D" w:rsidRPr="00786B3D" w14:paraId="08E93418" w14:textId="77777777" w:rsidTr="009E7AE2">
        <w:trPr>
          <w:trHeight w:val="350"/>
          <w:jc w:val="center"/>
        </w:trPr>
        <w:tc>
          <w:tcPr>
            <w:tcW w:w="1427" w:type="dxa"/>
            <w:vMerge/>
          </w:tcPr>
          <w:p w14:paraId="70548395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14:paraId="7548E795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2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Vineland Adaptive Behavior Scales, Third Edition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786B3D" w:rsidRPr="00786B3D" w14:paraId="6AD44BBC" w14:textId="77777777" w:rsidTr="009E7AE2">
        <w:trPr>
          <w:trHeight w:val="602"/>
          <w:jc w:val="center"/>
        </w:trPr>
        <w:tc>
          <w:tcPr>
            <w:tcW w:w="1427" w:type="dxa"/>
            <w:vMerge/>
          </w:tcPr>
          <w:p w14:paraId="75804506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14:paraId="54E4DBE2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3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Armed Services Vocational Aptitude Battery (ASVAB)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(Available at Military Entrance Processing Stations)</w:t>
            </w:r>
          </w:p>
        </w:tc>
      </w:tr>
      <w:tr w:rsidR="00786B3D" w:rsidRPr="00786B3D" w14:paraId="5B7BB319" w14:textId="77777777" w:rsidTr="009E7AE2">
        <w:trPr>
          <w:trHeight w:val="467"/>
          <w:jc w:val="center"/>
        </w:trPr>
        <w:tc>
          <w:tcPr>
            <w:tcW w:w="1427" w:type="dxa"/>
            <w:vMerge/>
          </w:tcPr>
          <w:p w14:paraId="6D6A54F1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14:paraId="2349A640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4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Bennett Mechanical Comprehension Test II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786B3D" w:rsidRPr="00786B3D" w14:paraId="5124CE9B" w14:textId="77777777" w:rsidTr="009E7AE2">
        <w:trPr>
          <w:trHeight w:val="440"/>
          <w:jc w:val="center"/>
        </w:trPr>
        <w:tc>
          <w:tcPr>
            <w:tcW w:w="1427" w:type="dxa"/>
            <w:vMerge/>
          </w:tcPr>
          <w:p w14:paraId="3392BBB8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14:paraId="1F38626E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5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Supports Intensity Scale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786B3D" w:rsidRPr="00786B3D" w14:paraId="542648C7" w14:textId="77777777" w:rsidTr="009E7AE2">
        <w:trPr>
          <w:trHeight w:val="440"/>
          <w:jc w:val="center"/>
        </w:trPr>
        <w:tc>
          <w:tcPr>
            <w:tcW w:w="1427" w:type="dxa"/>
            <w:vMerge w:val="restart"/>
          </w:tcPr>
          <w:p w14:paraId="0C16F670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  <w:r w:rsidRPr="00786B3D">
              <w:rPr>
                <w:rFonts w:eastAsiaTheme="minorHAnsi"/>
                <w:sz w:val="22"/>
                <w:szCs w:val="22"/>
              </w:rPr>
              <w:t>Aptitude Tests</w:t>
            </w:r>
          </w:p>
        </w:tc>
        <w:tc>
          <w:tcPr>
            <w:tcW w:w="9283" w:type="dxa"/>
          </w:tcPr>
          <w:p w14:paraId="67F8F044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6" w:anchor="administration" w:history="1">
              <w:r w:rsidR="00522FAC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O*NET Ability Profiler (AP)</w:t>
              </w:r>
            </w:hyperlink>
            <w:r w:rsidR="00522FAC" w:rsidRPr="00786B3D">
              <w:rPr>
                <w:rFonts w:eastAsiaTheme="minorHAnsi"/>
                <w:sz w:val="22"/>
                <w:szCs w:val="22"/>
              </w:rPr>
              <w:t xml:space="preserve"> (Free)</w:t>
            </w:r>
          </w:p>
        </w:tc>
      </w:tr>
      <w:tr w:rsidR="00786B3D" w:rsidRPr="00786B3D" w14:paraId="0FDD7ED8" w14:textId="77777777" w:rsidTr="009E7AE2">
        <w:trPr>
          <w:trHeight w:val="440"/>
          <w:jc w:val="center"/>
        </w:trPr>
        <w:tc>
          <w:tcPr>
            <w:tcW w:w="1427" w:type="dxa"/>
            <w:vMerge/>
          </w:tcPr>
          <w:p w14:paraId="5BC2DF98" w14:textId="77777777" w:rsidR="00786B3D" w:rsidRPr="00786B3D" w:rsidRDefault="00786B3D" w:rsidP="00786B3D">
            <w:pPr>
              <w:spacing w:after="160"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283" w:type="dxa"/>
          </w:tcPr>
          <w:p w14:paraId="5E08BA3C" w14:textId="77777777" w:rsidR="00786B3D" w:rsidRPr="00786B3D" w:rsidRDefault="00F76145" w:rsidP="00786B3D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hyperlink r:id="rId17" w:history="1">
              <w:r w:rsidR="00786B3D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Occupational Aptitude Survey &amp; Interest Schedule (OASIS-3)</w:t>
              </w:r>
            </w:hyperlink>
            <w:r w:rsidR="00786B3D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</w:tbl>
    <w:p w14:paraId="3F57DF4A" w14:textId="77777777" w:rsidR="009E7AE2" w:rsidRDefault="009E7AE2" w:rsidP="009E7AE2">
      <w:pPr>
        <w:ind w:right="-540"/>
      </w:pPr>
    </w:p>
    <w:p w14:paraId="291DE3EA" w14:textId="77777777" w:rsidR="000C57F3" w:rsidRDefault="000C57F3" w:rsidP="009E7AE2">
      <w:pPr>
        <w:ind w:right="-540"/>
      </w:pPr>
    </w:p>
    <w:tbl>
      <w:tblPr>
        <w:tblStyle w:val="TableGrid2"/>
        <w:tblW w:w="10710" w:type="dxa"/>
        <w:jc w:val="right"/>
        <w:tblLook w:val="04A0" w:firstRow="1" w:lastRow="0" w:firstColumn="1" w:lastColumn="0" w:noHBand="0" w:noVBand="1"/>
      </w:tblPr>
      <w:tblGrid>
        <w:gridCol w:w="2070"/>
        <w:gridCol w:w="8640"/>
      </w:tblGrid>
      <w:tr w:rsidR="00DA371E" w:rsidRPr="007A775A" w14:paraId="4B463733" w14:textId="77777777" w:rsidTr="000C57F3">
        <w:trPr>
          <w:jc w:val="right"/>
        </w:trPr>
        <w:tc>
          <w:tcPr>
            <w:tcW w:w="10710" w:type="dxa"/>
            <w:gridSpan w:val="2"/>
            <w:shd w:val="clear" w:color="auto" w:fill="FFFFFF" w:themeFill="background1"/>
          </w:tcPr>
          <w:p w14:paraId="7ABD4D2A" w14:textId="77777777" w:rsidR="00DA371E" w:rsidRPr="007A775A" w:rsidRDefault="00DA371E" w:rsidP="000C57F3">
            <w:pPr>
              <w:rPr>
                <w:b/>
                <w:sz w:val="24"/>
                <w:szCs w:val="24"/>
              </w:rPr>
            </w:pPr>
            <w:r w:rsidRPr="007A775A">
              <w:rPr>
                <w:b/>
                <w:sz w:val="24"/>
                <w:szCs w:val="24"/>
              </w:rPr>
              <w:t>Informal</w:t>
            </w:r>
            <w:r>
              <w:rPr>
                <w:b/>
                <w:sz w:val="24"/>
                <w:szCs w:val="24"/>
              </w:rPr>
              <w:t xml:space="preserve"> Assessments</w:t>
            </w:r>
            <w:r w:rsidR="00C721B0">
              <w:rPr>
                <w:b/>
                <w:sz w:val="24"/>
                <w:szCs w:val="24"/>
              </w:rPr>
              <w:t>:</w:t>
            </w:r>
            <w:r w:rsidR="000C57F3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="000C57F3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Are co</w:t>
            </w:r>
            <w:r w:rsid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ntent and performance driven; they</w:t>
            </w:r>
            <w:r w:rsidR="000C57F3" w:rsidRPr="000C57F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57F3" w:rsidRPr="000C57F3">
              <w:rPr>
                <w:rFonts w:cstheme="minorHAnsi"/>
                <w:sz w:val="24"/>
                <w:szCs w:val="24"/>
              </w:rPr>
              <w:t>m</w:t>
            </w:r>
            <w:r w:rsidR="000C57F3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easure students' performance and progress. </w:t>
            </w:r>
            <w:r w:rsidR="000C57F3" w:rsidRPr="000C57F3">
              <w:rPr>
                <w:rFonts w:cstheme="minorHAnsi"/>
                <w:bCs/>
                <w:color w:val="202124"/>
                <w:sz w:val="24"/>
                <w:szCs w:val="24"/>
                <w:shd w:val="clear" w:color="auto" w:fill="FFFFFF"/>
              </w:rPr>
              <w:t>Informal assessments</w:t>
            </w:r>
            <w:r w:rsidR="000C57F3" w:rsidRPr="000C57F3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0C57F3" w:rsidRPr="000C57F3">
              <w:rPr>
                <w:rFonts w:cstheme="minorHAnsi"/>
                <w:sz w:val="24"/>
                <w:szCs w:val="24"/>
              </w:rPr>
              <w:t>are less structured and do not allow comparisons across groups of assessment takers.</w:t>
            </w:r>
          </w:p>
        </w:tc>
      </w:tr>
      <w:tr w:rsidR="00DA371E" w:rsidRPr="007A775A" w14:paraId="3E1421CC" w14:textId="77777777" w:rsidTr="00DA371E">
        <w:trPr>
          <w:jc w:val="right"/>
        </w:trPr>
        <w:tc>
          <w:tcPr>
            <w:tcW w:w="2070" w:type="dxa"/>
          </w:tcPr>
          <w:p w14:paraId="5FC06B94" w14:textId="77777777" w:rsidR="00DA371E" w:rsidRPr="007A775A" w:rsidRDefault="00DA371E" w:rsidP="00C274D8">
            <w:pPr>
              <w:rPr>
                <w:b/>
                <w:sz w:val="24"/>
                <w:szCs w:val="24"/>
              </w:rPr>
            </w:pPr>
            <w:r w:rsidRPr="007A775A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8640" w:type="dxa"/>
          </w:tcPr>
          <w:p w14:paraId="73EBF49D" w14:textId="77777777" w:rsidR="00DA371E" w:rsidRPr="007A775A" w:rsidRDefault="00DA371E" w:rsidP="00C274D8">
            <w:pPr>
              <w:rPr>
                <w:b/>
                <w:sz w:val="24"/>
                <w:szCs w:val="24"/>
              </w:rPr>
            </w:pPr>
            <w:r w:rsidRPr="007A775A">
              <w:rPr>
                <w:b/>
                <w:sz w:val="24"/>
                <w:szCs w:val="24"/>
              </w:rPr>
              <w:t>Examples</w:t>
            </w:r>
          </w:p>
        </w:tc>
      </w:tr>
      <w:tr w:rsidR="00DA371E" w:rsidRPr="007A775A" w14:paraId="1C57AC23" w14:textId="77777777" w:rsidTr="00DA371E">
        <w:trPr>
          <w:jc w:val="right"/>
        </w:trPr>
        <w:tc>
          <w:tcPr>
            <w:tcW w:w="2070" w:type="dxa"/>
          </w:tcPr>
          <w:p w14:paraId="25616534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 xml:space="preserve">Interviews </w:t>
            </w:r>
          </w:p>
        </w:tc>
        <w:tc>
          <w:tcPr>
            <w:tcW w:w="8640" w:type="dxa"/>
          </w:tcPr>
          <w:p w14:paraId="24744A6B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18" w:history="1">
              <w:r w:rsidR="00DA371E" w:rsidRPr="00B256DD">
                <w:rPr>
                  <w:rStyle w:val="Hyperlink"/>
                  <w:sz w:val="22"/>
                  <w:szCs w:val="22"/>
                </w:rPr>
                <w:t>Student Dream Sheet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DA371E" w:rsidRPr="007A775A" w14:paraId="65CD80A5" w14:textId="77777777" w:rsidTr="00DA371E">
        <w:trPr>
          <w:jc w:val="right"/>
        </w:trPr>
        <w:tc>
          <w:tcPr>
            <w:tcW w:w="2070" w:type="dxa"/>
          </w:tcPr>
          <w:p w14:paraId="6A737635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 xml:space="preserve">Questionnaires </w:t>
            </w:r>
          </w:p>
        </w:tc>
        <w:tc>
          <w:tcPr>
            <w:tcW w:w="8640" w:type="dxa"/>
          </w:tcPr>
          <w:p w14:paraId="6A8AB1A2" w14:textId="77777777" w:rsidR="00DA371E" w:rsidRPr="00B256DD" w:rsidRDefault="00F76145" w:rsidP="00C274D8">
            <w:pPr>
              <w:rPr>
                <w:sz w:val="22"/>
                <w:szCs w:val="22"/>
              </w:rPr>
            </w:pPr>
            <w:hyperlink r:id="rId19" w:history="1">
              <w:r w:rsidR="00B256DD">
                <w:rPr>
                  <w:rStyle w:val="Hyperlink"/>
                  <w:sz w:val="22"/>
                  <w:szCs w:val="22"/>
                </w:rPr>
                <w:t>Applying the Personal Preference Indicators to Postsecondary Adult Living, Employment and Education</w:t>
              </w:r>
            </w:hyperlink>
            <w:r w:rsidR="00B256DD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="00B256DD" w:rsidRPr="00B256DD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(Free)</w:t>
            </w:r>
          </w:p>
        </w:tc>
      </w:tr>
      <w:tr w:rsidR="00DA371E" w:rsidRPr="007A775A" w14:paraId="4830EB5B" w14:textId="77777777" w:rsidTr="00DA371E">
        <w:trPr>
          <w:jc w:val="right"/>
        </w:trPr>
        <w:tc>
          <w:tcPr>
            <w:tcW w:w="2070" w:type="dxa"/>
          </w:tcPr>
          <w:p w14:paraId="17CD3042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 xml:space="preserve">Direct Observation </w:t>
            </w:r>
          </w:p>
        </w:tc>
        <w:tc>
          <w:tcPr>
            <w:tcW w:w="8640" w:type="dxa"/>
          </w:tcPr>
          <w:p w14:paraId="35C1002F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Observation of student performance and behaviors in a natural setting such as school, training or employment.</w:t>
            </w:r>
          </w:p>
        </w:tc>
      </w:tr>
      <w:tr w:rsidR="00DA371E" w:rsidRPr="007A775A" w14:paraId="3279759C" w14:textId="77777777" w:rsidTr="00DA371E">
        <w:trPr>
          <w:jc w:val="right"/>
        </w:trPr>
        <w:tc>
          <w:tcPr>
            <w:tcW w:w="2070" w:type="dxa"/>
          </w:tcPr>
          <w:p w14:paraId="17C1EB8F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 xml:space="preserve">Environmental or Situational Analysis </w:t>
            </w:r>
          </w:p>
        </w:tc>
        <w:tc>
          <w:tcPr>
            <w:tcW w:w="8640" w:type="dxa"/>
          </w:tcPr>
          <w:p w14:paraId="05769D34" w14:textId="77777777" w:rsidR="00DA371E" w:rsidRPr="00800CCB" w:rsidRDefault="00F76145" w:rsidP="00800CCB">
            <w:pPr>
              <w:rPr>
                <w:sz w:val="22"/>
                <w:szCs w:val="22"/>
              </w:rPr>
            </w:pPr>
            <w:hyperlink r:id="rId20" w:history="1">
              <w:r w:rsidR="00DA371E" w:rsidRPr="00B256DD">
                <w:rPr>
                  <w:rStyle w:val="Hyperlink"/>
                  <w:sz w:val="22"/>
                  <w:szCs w:val="22"/>
                </w:rPr>
                <w:t>Job Site Analysis Survey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  <w:r w:rsidR="00DA371E" w:rsidRPr="00800CCB">
              <w:rPr>
                <w:sz w:val="22"/>
                <w:szCs w:val="22"/>
              </w:rPr>
              <w:br/>
            </w:r>
          </w:p>
        </w:tc>
      </w:tr>
      <w:tr w:rsidR="00DA371E" w:rsidRPr="007A775A" w14:paraId="31221062" w14:textId="77777777" w:rsidTr="00DA371E">
        <w:trPr>
          <w:jc w:val="right"/>
        </w:trPr>
        <w:tc>
          <w:tcPr>
            <w:tcW w:w="2070" w:type="dxa"/>
            <w:vMerge w:val="restart"/>
          </w:tcPr>
          <w:p w14:paraId="78A1B178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 xml:space="preserve">Curriculum-Based Assessments </w:t>
            </w:r>
          </w:p>
        </w:tc>
        <w:tc>
          <w:tcPr>
            <w:tcW w:w="8640" w:type="dxa"/>
          </w:tcPr>
          <w:p w14:paraId="6E223397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21" w:history="1">
              <w:r w:rsidR="00DA371E" w:rsidRPr="00B256DD">
                <w:rPr>
                  <w:rStyle w:val="Hyperlink"/>
                  <w:sz w:val="22"/>
                  <w:szCs w:val="22"/>
                </w:rPr>
                <w:t>Life Centered Career Education</w:t>
              </w:r>
            </w:hyperlink>
            <w:r w:rsidR="00DA371E" w:rsidRPr="00B256DD">
              <w:rPr>
                <w:sz w:val="22"/>
                <w:szCs w:val="22"/>
              </w:rPr>
              <w:t xml:space="preserve"> (For Purchase)</w:t>
            </w:r>
          </w:p>
        </w:tc>
      </w:tr>
      <w:tr w:rsidR="00DA371E" w:rsidRPr="007A775A" w14:paraId="0F9425B7" w14:textId="77777777" w:rsidTr="00DA371E">
        <w:trPr>
          <w:jc w:val="right"/>
        </w:trPr>
        <w:tc>
          <w:tcPr>
            <w:tcW w:w="2070" w:type="dxa"/>
            <w:vMerge/>
          </w:tcPr>
          <w:p w14:paraId="02DB4211" w14:textId="77777777"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30823E13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22" w:history="1">
              <w:r w:rsidR="00DA371E" w:rsidRPr="00B256DD">
                <w:rPr>
                  <w:rStyle w:val="Hyperlink"/>
                  <w:sz w:val="22"/>
                  <w:szCs w:val="22"/>
                </w:rPr>
                <w:t>Brigance Transition Skills Inventory</w:t>
              </w:r>
            </w:hyperlink>
            <w:r w:rsidR="00DA371E" w:rsidRPr="00B256DD">
              <w:rPr>
                <w:sz w:val="22"/>
                <w:szCs w:val="22"/>
              </w:rPr>
              <w:t xml:space="preserve"> (For Purchase)</w:t>
            </w:r>
          </w:p>
        </w:tc>
      </w:tr>
      <w:tr w:rsidR="00DA371E" w:rsidRPr="007A775A" w14:paraId="15BA303F" w14:textId="77777777" w:rsidTr="00DA371E">
        <w:trPr>
          <w:jc w:val="right"/>
        </w:trPr>
        <w:tc>
          <w:tcPr>
            <w:tcW w:w="2070" w:type="dxa"/>
          </w:tcPr>
          <w:p w14:paraId="41779A8C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School Performance Measures</w:t>
            </w:r>
          </w:p>
        </w:tc>
        <w:tc>
          <w:tcPr>
            <w:tcW w:w="8640" w:type="dxa"/>
          </w:tcPr>
          <w:p w14:paraId="2470C820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Student portfolios, teacher-made tests and graded assignments, state-wide tests and attendance data</w:t>
            </w:r>
          </w:p>
        </w:tc>
      </w:tr>
      <w:tr w:rsidR="00DA371E" w:rsidRPr="007A775A" w14:paraId="362887D9" w14:textId="77777777" w:rsidTr="00DA371E">
        <w:trPr>
          <w:jc w:val="right"/>
        </w:trPr>
        <w:tc>
          <w:tcPr>
            <w:tcW w:w="2070" w:type="dxa"/>
            <w:vMerge w:val="restart"/>
          </w:tcPr>
          <w:p w14:paraId="22D99257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Transition Planning Inventories</w:t>
            </w:r>
          </w:p>
        </w:tc>
        <w:tc>
          <w:tcPr>
            <w:tcW w:w="8640" w:type="dxa"/>
          </w:tcPr>
          <w:p w14:paraId="0FCFE8F4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23" w:history="1">
              <w:r w:rsidR="00DA371E" w:rsidRPr="00B256DD">
                <w:rPr>
                  <w:rStyle w:val="Hyperlink"/>
                  <w:sz w:val="22"/>
                  <w:szCs w:val="22"/>
                </w:rPr>
                <w:t>Transition to Work Inventory</w:t>
              </w:r>
            </w:hyperlink>
            <w:r w:rsidR="00DA371E" w:rsidRPr="00B256DD">
              <w:rPr>
                <w:sz w:val="22"/>
                <w:szCs w:val="22"/>
              </w:rPr>
              <w:t xml:space="preserve"> (For Purchase)</w:t>
            </w:r>
          </w:p>
        </w:tc>
      </w:tr>
      <w:tr w:rsidR="00DA371E" w:rsidRPr="007A775A" w14:paraId="3B2B8CA1" w14:textId="77777777" w:rsidTr="00DA371E">
        <w:trPr>
          <w:jc w:val="right"/>
        </w:trPr>
        <w:tc>
          <w:tcPr>
            <w:tcW w:w="2070" w:type="dxa"/>
            <w:vMerge/>
          </w:tcPr>
          <w:p w14:paraId="4BF053F1" w14:textId="77777777"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5DD122A9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24" w:history="1">
              <w:proofErr w:type="spellStart"/>
              <w:r w:rsidR="00DA371E" w:rsidRPr="00B256DD">
                <w:rPr>
                  <w:rStyle w:val="Hyperlink"/>
                  <w:sz w:val="22"/>
                  <w:szCs w:val="22"/>
                </w:rPr>
                <w:t>Enderle</w:t>
              </w:r>
              <w:proofErr w:type="spellEnd"/>
              <w:r w:rsidR="00DA371E" w:rsidRPr="00B256DD">
                <w:rPr>
                  <w:rStyle w:val="Hyperlink"/>
                  <w:sz w:val="22"/>
                  <w:szCs w:val="22"/>
                </w:rPr>
                <w:t>-Severson Transition Rating Scales</w:t>
              </w:r>
            </w:hyperlink>
            <w:r w:rsidR="00DA371E" w:rsidRPr="00B256DD">
              <w:rPr>
                <w:sz w:val="22"/>
                <w:szCs w:val="22"/>
              </w:rPr>
              <w:t xml:space="preserve"> (For Purchase)</w:t>
            </w:r>
          </w:p>
        </w:tc>
      </w:tr>
      <w:tr w:rsidR="00DA371E" w:rsidRPr="007A775A" w14:paraId="33984E5F" w14:textId="77777777" w:rsidTr="00DA371E">
        <w:trPr>
          <w:jc w:val="right"/>
        </w:trPr>
        <w:tc>
          <w:tcPr>
            <w:tcW w:w="2070" w:type="dxa"/>
            <w:vMerge w:val="restart"/>
          </w:tcPr>
          <w:p w14:paraId="10BED129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Career Interests</w:t>
            </w:r>
          </w:p>
        </w:tc>
        <w:tc>
          <w:tcPr>
            <w:tcW w:w="8640" w:type="dxa"/>
          </w:tcPr>
          <w:p w14:paraId="036ACF1D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25" w:history="1">
              <w:r w:rsidR="009E7AE2" w:rsidRPr="00B256DD">
                <w:rPr>
                  <w:rStyle w:val="Hyperlink"/>
                  <w:sz w:val="22"/>
                  <w:szCs w:val="22"/>
                </w:rPr>
                <w:t>California Career Zone: Quick Assessment; Interest Profiler; Skills Profiler and Work Importance Profiler</w:t>
              </w:r>
            </w:hyperlink>
            <w:r w:rsidR="009E7AE2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9E7AE2" w:rsidRPr="007A775A" w14:paraId="00F60861" w14:textId="77777777" w:rsidTr="00DA371E">
        <w:trPr>
          <w:jc w:val="right"/>
        </w:trPr>
        <w:tc>
          <w:tcPr>
            <w:tcW w:w="2070" w:type="dxa"/>
            <w:vMerge/>
          </w:tcPr>
          <w:p w14:paraId="75036D3F" w14:textId="77777777"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1F8308D1" w14:textId="77777777" w:rsidR="009E7AE2" w:rsidRPr="00800CCB" w:rsidRDefault="00F76145" w:rsidP="00C274D8">
            <w:pPr>
              <w:rPr>
                <w:sz w:val="22"/>
                <w:szCs w:val="22"/>
              </w:rPr>
            </w:pPr>
            <w:hyperlink r:id="rId26" w:history="1">
              <w:r w:rsidR="009E7AE2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Career Beliefs Inventory</w:t>
              </w:r>
            </w:hyperlink>
            <w:r w:rsidR="009E7AE2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9E7AE2" w:rsidRPr="007A775A" w14:paraId="1FA92B39" w14:textId="77777777" w:rsidTr="00DA371E">
        <w:trPr>
          <w:jc w:val="right"/>
        </w:trPr>
        <w:tc>
          <w:tcPr>
            <w:tcW w:w="2070" w:type="dxa"/>
            <w:vMerge/>
          </w:tcPr>
          <w:p w14:paraId="79AC2B88" w14:textId="77777777"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5D0EE662" w14:textId="77777777" w:rsidR="009E7AE2" w:rsidRDefault="00F76145" w:rsidP="00C274D8">
            <w:hyperlink r:id="rId27" w:history="1">
              <w:r w:rsidR="009E7AE2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Career Decision Scale</w:t>
              </w:r>
            </w:hyperlink>
            <w:r w:rsidR="009E7AE2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DA371E" w:rsidRPr="007A775A" w14:paraId="13A0AE57" w14:textId="77777777" w:rsidTr="00DA371E">
        <w:trPr>
          <w:jc w:val="right"/>
        </w:trPr>
        <w:tc>
          <w:tcPr>
            <w:tcW w:w="2070" w:type="dxa"/>
            <w:vMerge/>
          </w:tcPr>
          <w:p w14:paraId="37EBF995" w14:textId="77777777"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72D294BB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28" w:history="1">
              <w:r w:rsidR="009E7AE2" w:rsidRPr="00B256DD">
                <w:rPr>
                  <w:rStyle w:val="Hyperlink"/>
                  <w:sz w:val="22"/>
                  <w:szCs w:val="22"/>
                </w:rPr>
                <w:t>Career Interest Inventory</w:t>
              </w:r>
            </w:hyperlink>
            <w:r w:rsidR="009E7AE2" w:rsidRPr="00B256DD">
              <w:rPr>
                <w:sz w:val="22"/>
                <w:szCs w:val="22"/>
              </w:rPr>
              <w:t xml:space="preserve"> – Pictorial Version (Free)</w:t>
            </w:r>
          </w:p>
        </w:tc>
      </w:tr>
      <w:tr w:rsidR="00DA371E" w:rsidRPr="007A775A" w14:paraId="4D7D4B0F" w14:textId="77777777" w:rsidTr="00DA371E">
        <w:trPr>
          <w:jc w:val="right"/>
        </w:trPr>
        <w:tc>
          <w:tcPr>
            <w:tcW w:w="2070" w:type="dxa"/>
            <w:vMerge/>
          </w:tcPr>
          <w:p w14:paraId="164D025F" w14:textId="77777777"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2360A3EC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29" w:history="1">
              <w:r w:rsidR="009E7AE2" w:rsidRPr="00B256DD">
                <w:rPr>
                  <w:rStyle w:val="Hyperlink"/>
                  <w:sz w:val="22"/>
                  <w:szCs w:val="22"/>
                </w:rPr>
                <w:t>Career Clusters Interest Survey</w:t>
              </w:r>
            </w:hyperlink>
            <w:r w:rsidR="009E7AE2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DA371E" w:rsidRPr="007A775A" w14:paraId="43DFBC5C" w14:textId="77777777" w:rsidTr="00DA371E">
        <w:trPr>
          <w:jc w:val="right"/>
        </w:trPr>
        <w:tc>
          <w:tcPr>
            <w:tcW w:w="2070" w:type="dxa"/>
            <w:vMerge/>
          </w:tcPr>
          <w:p w14:paraId="5AB54C60" w14:textId="77777777"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783FD51D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30" w:history="1">
              <w:r w:rsidR="00DA371E" w:rsidRPr="00B256DD">
                <w:rPr>
                  <w:rStyle w:val="Hyperlink"/>
                  <w:sz w:val="22"/>
                  <w:szCs w:val="22"/>
                </w:rPr>
                <w:t>Holland Code Career Test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9E7AE2" w:rsidRPr="007A775A" w14:paraId="356A4F52" w14:textId="77777777" w:rsidTr="00DA371E">
        <w:trPr>
          <w:jc w:val="right"/>
        </w:trPr>
        <w:tc>
          <w:tcPr>
            <w:tcW w:w="2070" w:type="dxa"/>
            <w:vMerge/>
          </w:tcPr>
          <w:p w14:paraId="7949F4F4" w14:textId="77777777"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2547252F" w14:textId="77777777" w:rsidR="009E7AE2" w:rsidRPr="00800CCB" w:rsidRDefault="00F76145" w:rsidP="00C274D8">
            <w:pPr>
              <w:rPr>
                <w:sz w:val="22"/>
                <w:szCs w:val="22"/>
              </w:rPr>
            </w:pPr>
            <w:hyperlink r:id="rId31" w:history="1">
              <w:r w:rsidR="009E7AE2" w:rsidRPr="00B256DD">
                <w:rPr>
                  <w:rStyle w:val="Hyperlink"/>
                  <w:sz w:val="22"/>
                  <w:szCs w:val="22"/>
                </w:rPr>
                <w:t>Interests &amp; Preferences – List of Inventories</w:t>
              </w:r>
            </w:hyperlink>
            <w:r w:rsidR="009E7AE2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9E7AE2" w:rsidRPr="007A775A" w14:paraId="1A022754" w14:textId="77777777" w:rsidTr="00DA371E">
        <w:trPr>
          <w:jc w:val="right"/>
        </w:trPr>
        <w:tc>
          <w:tcPr>
            <w:tcW w:w="2070" w:type="dxa"/>
            <w:vMerge/>
          </w:tcPr>
          <w:p w14:paraId="4A71CF0F" w14:textId="77777777"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0B215D3A" w14:textId="77777777" w:rsidR="009E7AE2" w:rsidRPr="00800CCB" w:rsidRDefault="00F76145" w:rsidP="00C274D8">
            <w:pPr>
              <w:rPr>
                <w:sz w:val="22"/>
                <w:szCs w:val="22"/>
              </w:rPr>
            </w:pPr>
            <w:hyperlink r:id="rId32" w:history="1">
              <w:r w:rsidR="009E7AE2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Job Search Attitude Inventory (JSAI)</w:t>
              </w:r>
            </w:hyperlink>
            <w:r w:rsidR="009E7AE2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522FAC" w:rsidRPr="007A775A" w14:paraId="14737E82" w14:textId="77777777" w:rsidTr="00DA371E">
        <w:trPr>
          <w:jc w:val="right"/>
        </w:trPr>
        <w:tc>
          <w:tcPr>
            <w:tcW w:w="2070" w:type="dxa"/>
            <w:vMerge/>
          </w:tcPr>
          <w:p w14:paraId="5FAB9043" w14:textId="77777777" w:rsidR="00522FAC" w:rsidRPr="00800CCB" w:rsidRDefault="00522FAC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53CA56DF" w14:textId="77777777" w:rsidR="00522FAC" w:rsidRPr="00800CCB" w:rsidRDefault="00F76145" w:rsidP="00C274D8">
            <w:pPr>
              <w:rPr>
                <w:sz w:val="22"/>
                <w:szCs w:val="22"/>
              </w:rPr>
            </w:pPr>
            <w:hyperlink r:id="rId33" w:anchor="web-based" w:history="1">
              <w:r w:rsidR="00522FAC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O*NET Interest Profiler (IP)</w:t>
              </w:r>
            </w:hyperlink>
            <w:r w:rsidR="00522FAC" w:rsidRPr="00786B3D">
              <w:rPr>
                <w:rFonts w:eastAsiaTheme="minorHAnsi"/>
                <w:sz w:val="22"/>
                <w:szCs w:val="22"/>
              </w:rPr>
              <w:t xml:space="preserve"> (Free)</w:t>
            </w:r>
          </w:p>
        </w:tc>
      </w:tr>
      <w:tr w:rsidR="009E7AE2" w:rsidRPr="007A775A" w14:paraId="4D0CEE19" w14:textId="77777777" w:rsidTr="00DA371E">
        <w:trPr>
          <w:jc w:val="right"/>
        </w:trPr>
        <w:tc>
          <w:tcPr>
            <w:tcW w:w="2070" w:type="dxa"/>
            <w:vMerge/>
          </w:tcPr>
          <w:p w14:paraId="2DC8FE5F" w14:textId="77777777"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12D33E62" w14:textId="77777777" w:rsidR="009E7AE2" w:rsidRDefault="00F76145" w:rsidP="00C274D8">
            <w:hyperlink r:id="rId34" w:history="1">
              <w:r w:rsidR="009E7AE2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Picture Interest Career Survey</w:t>
              </w:r>
            </w:hyperlink>
            <w:r w:rsidR="009E7AE2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9E7AE2" w:rsidRPr="007A775A" w14:paraId="55FA6693" w14:textId="77777777" w:rsidTr="00DA371E">
        <w:trPr>
          <w:jc w:val="right"/>
        </w:trPr>
        <w:tc>
          <w:tcPr>
            <w:tcW w:w="2070" w:type="dxa"/>
            <w:vMerge/>
          </w:tcPr>
          <w:p w14:paraId="04170D47" w14:textId="77777777" w:rsidR="009E7AE2" w:rsidRPr="00800CCB" w:rsidRDefault="009E7AE2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03650841" w14:textId="77777777" w:rsidR="009E7AE2" w:rsidRDefault="00F76145" w:rsidP="00C274D8">
            <w:hyperlink r:id="rId35" w:history="1">
              <w:r w:rsidR="009E7AE2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Reading-Free Vocational Interest Inventory, Third Edition</w:t>
              </w:r>
            </w:hyperlink>
            <w:r w:rsidR="009E7AE2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DA371E" w:rsidRPr="007A775A" w14:paraId="6D48558C" w14:textId="77777777" w:rsidTr="00DA371E">
        <w:trPr>
          <w:jc w:val="right"/>
        </w:trPr>
        <w:tc>
          <w:tcPr>
            <w:tcW w:w="2070" w:type="dxa"/>
            <w:vMerge/>
          </w:tcPr>
          <w:p w14:paraId="023E01C1" w14:textId="77777777"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1FD5EF41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36" w:history="1">
              <w:r w:rsidR="00DA371E" w:rsidRPr="00B256DD">
                <w:rPr>
                  <w:rStyle w:val="Hyperlink"/>
                  <w:sz w:val="22"/>
                  <w:szCs w:val="22"/>
                </w:rPr>
                <w:t>Wisc</w:t>
              </w:r>
              <w:r w:rsidR="009E7AE2" w:rsidRPr="00B256DD">
                <w:rPr>
                  <w:rStyle w:val="Hyperlink"/>
                  <w:sz w:val="22"/>
                  <w:szCs w:val="22"/>
                </w:rPr>
                <w:t>onsin Technical College Career I</w:t>
              </w:r>
              <w:r w:rsidR="00DA371E" w:rsidRPr="00B256DD">
                <w:rPr>
                  <w:rStyle w:val="Hyperlink"/>
                  <w:sz w:val="22"/>
                  <w:szCs w:val="22"/>
                </w:rPr>
                <w:t>nterest Questionnaire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0C57F3" w:rsidRPr="007A775A" w14:paraId="5FA94378" w14:textId="77777777" w:rsidTr="00DA371E">
        <w:trPr>
          <w:jc w:val="right"/>
        </w:trPr>
        <w:tc>
          <w:tcPr>
            <w:tcW w:w="2070" w:type="dxa"/>
            <w:vMerge w:val="restart"/>
          </w:tcPr>
          <w:p w14:paraId="0B06D0E7" w14:textId="77777777" w:rsidR="000C57F3" w:rsidRPr="00800CCB" w:rsidRDefault="000C57F3" w:rsidP="00C274D8">
            <w:pPr>
              <w:rPr>
                <w:sz w:val="22"/>
                <w:szCs w:val="22"/>
              </w:rPr>
            </w:pPr>
            <w:r w:rsidRPr="00786B3D">
              <w:rPr>
                <w:rFonts w:eastAsiaTheme="minorHAnsi"/>
                <w:sz w:val="22"/>
                <w:szCs w:val="22"/>
              </w:rPr>
              <w:t>On-the-Job Training Evaluations</w:t>
            </w:r>
          </w:p>
        </w:tc>
        <w:tc>
          <w:tcPr>
            <w:tcW w:w="8640" w:type="dxa"/>
          </w:tcPr>
          <w:p w14:paraId="1F88D6E8" w14:textId="77777777" w:rsidR="000C57F3" w:rsidRPr="00800CCB" w:rsidRDefault="00F76145" w:rsidP="00C274D8">
            <w:pPr>
              <w:rPr>
                <w:sz w:val="22"/>
                <w:szCs w:val="22"/>
              </w:rPr>
            </w:pPr>
            <w:hyperlink r:id="rId37" w:history="1">
              <w:r w:rsidR="000C57F3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Job Observation and Behavior Scale (JOBS)</w:t>
              </w:r>
            </w:hyperlink>
            <w:r w:rsidR="000C57F3" w:rsidRPr="00786B3D">
              <w:rPr>
                <w:rFonts w:eastAsiaTheme="minorHAnsi"/>
                <w:sz w:val="22"/>
                <w:szCs w:val="22"/>
              </w:rPr>
              <w:t xml:space="preserve"> (For Purchase)</w:t>
            </w:r>
          </w:p>
        </w:tc>
      </w:tr>
      <w:tr w:rsidR="000C57F3" w:rsidRPr="007A775A" w14:paraId="28EE2D7F" w14:textId="77777777" w:rsidTr="00DA371E">
        <w:trPr>
          <w:jc w:val="right"/>
        </w:trPr>
        <w:tc>
          <w:tcPr>
            <w:tcW w:w="2070" w:type="dxa"/>
            <w:vMerge/>
          </w:tcPr>
          <w:p w14:paraId="7B8E2D7A" w14:textId="77777777" w:rsidR="000C57F3" w:rsidRPr="00786B3D" w:rsidRDefault="000C57F3" w:rsidP="00C274D8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640" w:type="dxa"/>
          </w:tcPr>
          <w:p w14:paraId="1873AE30" w14:textId="77777777" w:rsidR="000C57F3" w:rsidRPr="00800CCB" w:rsidRDefault="00F76145" w:rsidP="00C274D8">
            <w:pPr>
              <w:rPr>
                <w:sz w:val="22"/>
                <w:szCs w:val="22"/>
              </w:rPr>
            </w:pPr>
            <w:hyperlink r:id="rId38" w:history="1">
              <w:r w:rsidR="000C57F3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Vocational Fit Assessment</w:t>
              </w:r>
            </w:hyperlink>
            <w:r w:rsidR="000C57F3" w:rsidRPr="00786B3D">
              <w:rPr>
                <w:rFonts w:eastAsiaTheme="minorHAnsi"/>
                <w:sz w:val="22"/>
                <w:szCs w:val="22"/>
              </w:rPr>
              <w:t xml:space="preserve"> (Free)</w:t>
            </w:r>
          </w:p>
        </w:tc>
      </w:tr>
      <w:tr w:rsidR="000C57F3" w:rsidRPr="007A775A" w14:paraId="00A64476" w14:textId="77777777" w:rsidTr="00DA371E">
        <w:trPr>
          <w:jc w:val="right"/>
        </w:trPr>
        <w:tc>
          <w:tcPr>
            <w:tcW w:w="2070" w:type="dxa"/>
            <w:vMerge/>
          </w:tcPr>
          <w:p w14:paraId="5454349B" w14:textId="77777777" w:rsidR="000C57F3" w:rsidRPr="00786B3D" w:rsidRDefault="000C57F3" w:rsidP="00C274D8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640" w:type="dxa"/>
          </w:tcPr>
          <w:p w14:paraId="3D73057C" w14:textId="77777777" w:rsidR="000C57F3" w:rsidRPr="00800CCB" w:rsidRDefault="00F76145" w:rsidP="00C274D8">
            <w:pPr>
              <w:rPr>
                <w:sz w:val="22"/>
                <w:szCs w:val="22"/>
              </w:rPr>
            </w:pPr>
            <w:hyperlink r:id="rId39" w:history="1">
              <w:r w:rsidR="000C57F3" w:rsidRPr="00786B3D">
                <w:rPr>
                  <w:rFonts w:eastAsiaTheme="minorHAnsi"/>
                  <w:color w:val="0000FF"/>
                  <w:sz w:val="22"/>
                  <w:szCs w:val="22"/>
                  <w:u w:val="single"/>
                </w:rPr>
                <w:t>Work Personality Profile</w:t>
              </w:r>
            </w:hyperlink>
            <w:r w:rsidR="000C57F3" w:rsidRPr="00786B3D">
              <w:rPr>
                <w:rFonts w:eastAsiaTheme="minorHAnsi"/>
                <w:sz w:val="22"/>
                <w:szCs w:val="22"/>
              </w:rPr>
              <w:t xml:space="preserve"> (Free)</w:t>
            </w:r>
          </w:p>
        </w:tc>
      </w:tr>
      <w:tr w:rsidR="00DA371E" w:rsidRPr="007A775A" w14:paraId="509DFAE6" w14:textId="77777777" w:rsidTr="00DA371E">
        <w:trPr>
          <w:jc w:val="right"/>
        </w:trPr>
        <w:tc>
          <w:tcPr>
            <w:tcW w:w="2070" w:type="dxa"/>
            <w:vMerge w:val="restart"/>
          </w:tcPr>
          <w:p w14:paraId="059D1140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Independent Living</w:t>
            </w:r>
          </w:p>
        </w:tc>
        <w:tc>
          <w:tcPr>
            <w:tcW w:w="8640" w:type="dxa"/>
          </w:tcPr>
          <w:p w14:paraId="75AB886F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40" w:history="1">
              <w:r w:rsidR="00DA371E" w:rsidRPr="00B256DD">
                <w:rPr>
                  <w:rStyle w:val="Hyperlink"/>
                  <w:sz w:val="22"/>
                  <w:szCs w:val="22"/>
                </w:rPr>
                <w:t>Life Skills Inventory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DA371E" w:rsidRPr="007A775A" w14:paraId="1BA23BEE" w14:textId="77777777" w:rsidTr="00DA371E">
        <w:trPr>
          <w:jc w:val="right"/>
        </w:trPr>
        <w:tc>
          <w:tcPr>
            <w:tcW w:w="2070" w:type="dxa"/>
            <w:vMerge/>
          </w:tcPr>
          <w:p w14:paraId="57AF2BC9" w14:textId="77777777"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762F9CE0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41" w:history="1">
              <w:r w:rsidR="00DA371E" w:rsidRPr="00B256DD">
                <w:rPr>
                  <w:rStyle w:val="Hyperlink"/>
                  <w:sz w:val="22"/>
                  <w:szCs w:val="22"/>
                </w:rPr>
                <w:t>Personal Preference Indicators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DA371E" w:rsidRPr="007A775A" w14:paraId="772794EB" w14:textId="77777777" w:rsidTr="00DA371E">
        <w:trPr>
          <w:jc w:val="right"/>
        </w:trPr>
        <w:tc>
          <w:tcPr>
            <w:tcW w:w="2070" w:type="dxa"/>
            <w:vMerge w:val="restart"/>
          </w:tcPr>
          <w:p w14:paraId="39E1EB5C" w14:textId="77777777" w:rsidR="00DA371E" w:rsidRPr="00800CCB" w:rsidRDefault="00DA371E" w:rsidP="00C274D8">
            <w:pPr>
              <w:rPr>
                <w:sz w:val="22"/>
                <w:szCs w:val="22"/>
              </w:rPr>
            </w:pPr>
            <w:r w:rsidRPr="00800CCB">
              <w:rPr>
                <w:sz w:val="22"/>
                <w:szCs w:val="22"/>
              </w:rPr>
              <w:t>Self-Determination</w:t>
            </w:r>
          </w:p>
        </w:tc>
        <w:tc>
          <w:tcPr>
            <w:tcW w:w="8640" w:type="dxa"/>
          </w:tcPr>
          <w:p w14:paraId="2B0EF05B" w14:textId="77777777" w:rsidR="00DA371E" w:rsidRPr="00B256DD" w:rsidRDefault="00F76145" w:rsidP="00C274D8">
            <w:pPr>
              <w:rPr>
                <w:color w:val="000000" w:themeColor="text1"/>
                <w:sz w:val="22"/>
                <w:szCs w:val="22"/>
              </w:rPr>
            </w:pPr>
            <w:hyperlink r:id="rId42" w:history="1">
              <w:proofErr w:type="spellStart"/>
              <w:r w:rsidR="00DA371E" w:rsidRPr="00800CCB">
                <w:rPr>
                  <w:rStyle w:val="Hyperlink"/>
                  <w:sz w:val="22"/>
                  <w:szCs w:val="22"/>
                </w:rPr>
                <w:t>ChoiceMaker</w:t>
              </w:r>
              <w:proofErr w:type="spellEnd"/>
              <w:r w:rsidR="00DA371E" w:rsidRPr="00800CCB">
                <w:rPr>
                  <w:rStyle w:val="Hyperlink"/>
                  <w:sz w:val="22"/>
                  <w:szCs w:val="22"/>
                </w:rPr>
                <w:t xml:space="preserve"> Self-Determination Assessment</w:t>
              </w:r>
            </w:hyperlink>
            <w:r w:rsidR="00132C2A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="00132C2A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(Free)</w:t>
            </w:r>
          </w:p>
        </w:tc>
      </w:tr>
      <w:tr w:rsidR="00DA371E" w:rsidRPr="007A775A" w14:paraId="533ACAF3" w14:textId="77777777" w:rsidTr="00DA371E">
        <w:trPr>
          <w:jc w:val="right"/>
        </w:trPr>
        <w:tc>
          <w:tcPr>
            <w:tcW w:w="2070" w:type="dxa"/>
            <w:vMerge/>
          </w:tcPr>
          <w:p w14:paraId="4488EE9C" w14:textId="77777777"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5436BE99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43" w:history="1">
              <w:r w:rsidR="00DA371E" w:rsidRPr="00B256DD">
                <w:rPr>
                  <w:rStyle w:val="Hyperlink"/>
                  <w:sz w:val="22"/>
                  <w:szCs w:val="22"/>
                </w:rPr>
                <w:t>AIR Self-Determination Assessments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  <w:tr w:rsidR="00DA371E" w:rsidRPr="007A775A" w14:paraId="59FD4804" w14:textId="77777777" w:rsidTr="00DA371E">
        <w:trPr>
          <w:jc w:val="right"/>
        </w:trPr>
        <w:tc>
          <w:tcPr>
            <w:tcW w:w="2070" w:type="dxa"/>
            <w:vMerge/>
          </w:tcPr>
          <w:p w14:paraId="11889E2D" w14:textId="77777777" w:rsidR="00DA371E" w:rsidRPr="00800CCB" w:rsidRDefault="00DA371E" w:rsidP="00C274D8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</w:tcPr>
          <w:p w14:paraId="4128EC47" w14:textId="77777777" w:rsidR="00DA371E" w:rsidRPr="00800CCB" w:rsidRDefault="00F76145" w:rsidP="00C274D8">
            <w:pPr>
              <w:rPr>
                <w:sz w:val="22"/>
                <w:szCs w:val="22"/>
              </w:rPr>
            </w:pPr>
            <w:hyperlink r:id="rId44" w:history="1">
              <w:r w:rsidR="00DA371E" w:rsidRPr="00B256DD">
                <w:rPr>
                  <w:rStyle w:val="Hyperlink"/>
                  <w:sz w:val="22"/>
                  <w:szCs w:val="22"/>
                </w:rPr>
                <w:t>The ARC</w:t>
              </w:r>
              <w:r w:rsidR="000218AA" w:rsidRPr="00B256DD">
                <w:rPr>
                  <w:rStyle w:val="Hyperlink"/>
                  <w:sz w:val="22"/>
                  <w:szCs w:val="22"/>
                </w:rPr>
                <w:t>’s</w:t>
              </w:r>
              <w:r w:rsidR="00DA371E" w:rsidRPr="00B256DD">
                <w:rPr>
                  <w:rStyle w:val="Hyperlink"/>
                  <w:sz w:val="22"/>
                  <w:szCs w:val="22"/>
                </w:rPr>
                <w:t xml:space="preserve"> Self-Determination Scale</w:t>
              </w:r>
            </w:hyperlink>
            <w:r w:rsidR="00DA371E" w:rsidRPr="00B256DD">
              <w:rPr>
                <w:sz w:val="22"/>
                <w:szCs w:val="22"/>
              </w:rPr>
              <w:t xml:space="preserve"> (Free)</w:t>
            </w:r>
          </w:p>
        </w:tc>
      </w:tr>
    </w:tbl>
    <w:p w14:paraId="64C0B4B1" w14:textId="77777777" w:rsidR="00DA371E" w:rsidRDefault="009E32B5" w:rsidP="00DA371E">
      <w:pPr>
        <w:ind w:right="-54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0D213" wp14:editId="7EE812B1">
                <wp:simplePos x="0" y="0"/>
                <wp:positionH relativeFrom="column">
                  <wp:posOffset>4110151</wp:posOffset>
                </wp:positionH>
                <wp:positionV relativeFrom="paragraph">
                  <wp:posOffset>1813896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210CE" w14:textId="77777777" w:rsidR="009E32B5" w:rsidRDefault="009E32B5">
                            <w:r>
                              <w:t>Updated: 3.19.21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E0D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65pt;margin-top:14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L8fUfgAAAADAEAAA8AAABkcnMvZG93bnJldi54bWxM&#10;j8FuwjAQRO+V+g/WVuqt2EkhQIiDUNRekYBKvS6xm4TG6zR2Qvr3NSd6XM3TzNtsO5mWjbp3jSUJ&#10;0UwA01Ra1VAl4eP0/rIC5jySwtaSlvCrHWzzx4cMU2WvdNDj0VcslJBLUULtfZdy7spaG3Qz22kK&#10;2ZftDfpw9hVXPV5DuWl5LETCDTYUFmrsdFHr8vs4GAnDqdiNhyK+fI57Nd8nb2iw/ZHy+WnabYB5&#10;Pfk7DDf9oA55cDrbgZRjrYRkvnwNqIR4tVgCuxEiWkfAzhIWIlkDzzP+/4n8Dw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KL8fUfgAAAADAEAAA8AAAAAAAAAAAAAAAAAfwQAAGRycy9k&#10;b3ducmV2LnhtbFBLBQYAAAAABAAEAPMAAACMBQAAAAA=&#10;">
                <v:textbox style="mso-fit-shape-to-text:t">
                  <w:txbxContent>
                    <w:p w14:paraId="282210CE" w14:textId="77777777" w:rsidR="009E32B5" w:rsidRDefault="009E32B5">
                      <w:r>
                        <w:t>Updated: 3.19.21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371E" w:rsidSect="004C5C6A">
      <w:pgSz w:w="12240" w:h="15840"/>
      <w:pgMar w:top="1008" w:right="720" w:bottom="1008" w:left="720" w:header="720" w:footer="720" w:gutter="0"/>
      <w:pgBorders w:offsetFrom="page">
        <w:top w:val="thinThickMediumGap" w:sz="36" w:space="24" w:color="2E74B5" w:themeColor="accent1" w:themeShade="BF"/>
        <w:left w:val="thinThickMediumGap" w:sz="36" w:space="24" w:color="2E74B5" w:themeColor="accent1" w:themeShade="BF"/>
        <w:bottom w:val="thickThinMediumGap" w:sz="36" w:space="24" w:color="2E74B5" w:themeColor="accent1" w:themeShade="BF"/>
        <w:right w:val="thickThinMediumGap" w:sz="36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3D"/>
    <w:rsid w:val="000218AA"/>
    <w:rsid w:val="000C57F3"/>
    <w:rsid w:val="00132C2A"/>
    <w:rsid w:val="00151F23"/>
    <w:rsid w:val="002023C2"/>
    <w:rsid w:val="00304C09"/>
    <w:rsid w:val="004C5C6A"/>
    <w:rsid w:val="00522FAC"/>
    <w:rsid w:val="005B74DB"/>
    <w:rsid w:val="005E1D1C"/>
    <w:rsid w:val="00650BD9"/>
    <w:rsid w:val="00786B3D"/>
    <w:rsid w:val="00800CCB"/>
    <w:rsid w:val="009E32B5"/>
    <w:rsid w:val="009E7AE2"/>
    <w:rsid w:val="00B256DD"/>
    <w:rsid w:val="00B277B6"/>
    <w:rsid w:val="00C656D4"/>
    <w:rsid w:val="00C721B0"/>
    <w:rsid w:val="00DA371E"/>
    <w:rsid w:val="00E96574"/>
    <w:rsid w:val="00F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5CB2"/>
  <w15:chartTrackingRefBased/>
  <w15:docId w15:val="{1B03C0C0-C297-46A4-8769-CA68EA34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3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B3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8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8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8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A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fficialasvab.com/" TargetMode="External"/><Relationship Id="rId18" Type="http://schemas.openxmlformats.org/officeDocument/2006/relationships/hyperlink" Target="https://transitionta.org/sites/default/files/dreamsheet.pdf" TargetMode="External"/><Relationship Id="rId26" Type="http://schemas.openxmlformats.org/officeDocument/2006/relationships/hyperlink" Target="https://www.mindgarden.com/78-career-beliefs-inventory" TargetMode="External"/><Relationship Id="rId39" Type="http://schemas.openxmlformats.org/officeDocument/2006/relationships/hyperlink" Target="https://www.cves.org/wp-content/uploads/2015/08/Work-Personality-Profile.pdf" TargetMode="External"/><Relationship Id="rId21" Type="http://schemas.openxmlformats.org/officeDocument/2006/relationships/hyperlink" Target="https://exceptionalchildren.org/improving-your-practice/life-centered-education-transition-curriculum" TargetMode="External"/><Relationship Id="rId34" Type="http://schemas.openxmlformats.org/officeDocument/2006/relationships/hyperlink" Target="https://www.career-lifeskills.com/career-assessments-79/jist-assessments-150/picture-interest-career-survey-pics-2nd-ed-10-2424.html" TargetMode="External"/><Relationship Id="rId42" Type="http://schemas.openxmlformats.org/officeDocument/2006/relationships/hyperlink" Target="https://www.ou.edu/education/centers-and-partnerships/zarrow/self-determination-assessment-tools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https://www.wpspublish.com/sb-5-stanford-binet-intelligence-scales-fifth-edi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netcenter.org/AP.html" TargetMode="External"/><Relationship Id="rId29" Type="http://schemas.openxmlformats.org/officeDocument/2006/relationships/hyperlink" Target="https://cte.careertech.org/sites/default/files/StudentInterestSurvey-English.pdf" TargetMode="External"/><Relationship Id="rId11" Type="http://schemas.openxmlformats.org/officeDocument/2006/relationships/hyperlink" Target="https://www.tests.com/Woodcock-Johnson-Testing" TargetMode="External"/><Relationship Id="rId24" Type="http://schemas.openxmlformats.org/officeDocument/2006/relationships/hyperlink" Target="https://www.curriculumassociates.com/about/press-releases/2010/01/brigance-transition-skills-inventory-supports-idea-transition-goals" TargetMode="External"/><Relationship Id="rId32" Type="http://schemas.openxmlformats.org/officeDocument/2006/relationships/hyperlink" Target="https://estr.net/publications.cfm" TargetMode="External"/><Relationship Id="rId37" Type="http://schemas.openxmlformats.org/officeDocument/2006/relationships/hyperlink" Target="https://www.career-lifeskills.com/job-search-attitude-inventory-jsai-5th-ed-533.html" TargetMode="External"/><Relationship Id="rId40" Type="http://schemas.openxmlformats.org/officeDocument/2006/relationships/hyperlink" Target="https://www.stoeltingco.com/job-observation-and-behavior-scale-jobs-complete-test-kit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transitionresponse.com/wp-content/uploads/2011/09/Life-Skills-Assessment-Div.-Of-Children.pdf" TargetMode="External"/><Relationship Id="rId15" Type="http://schemas.openxmlformats.org/officeDocument/2006/relationships/hyperlink" Target="https://www.pearsonassessments.com/store/usassessments/en/Store/Professional-Assessments/Cognition-%26-Neuro/Wechsler-Intelligence-Scale-for-Children-|-Fourth-Edition/p/100000310.html" TargetMode="External"/><Relationship Id="rId23" Type="http://schemas.openxmlformats.org/officeDocument/2006/relationships/hyperlink" Target="https://www.aaidd.org/sis" TargetMode="External"/><Relationship Id="rId28" Type="http://schemas.openxmlformats.org/officeDocument/2006/relationships/hyperlink" Target="https://www.career-lifeskills.com/transition-to-work-inventory-twi-1761.html" TargetMode="External"/><Relationship Id="rId36" Type="http://schemas.openxmlformats.org/officeDocument/2006/relationships/hyperlink" Target="https://www.cves.org/wp-content/uploads/2015/08/PictureCareerInterest_Inventory.pdf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://www.wistechcolleges.org/explore-careers/career-interest-questionnaire" TargetMode="External"/><Relationship Id="rId19" Type="http://schemas.openxmlformats.org/officeDocument/2006/relationships/hyperlink" Target="https://info.riversideinsights.com/wj-iv" TargetMode="External"/><Relationship Id="rId31" Type="http://schemas.openxmlformats.org/officeDocument/2006/relationships/hyperlink" Target="https://transitionta.org/sites/default/files/Career%20Preferences-1.pdf" TargetMode="External"/><Relationship Id="rId44" Type="http://schemas.openxmlformats.org/officeDocument/2006/relationships/hyperlink" Target="https://www.cves.org/wp-content/uploads/2015/08/Interests-Preferences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u.edu/education/centers-and-partnerships/zarrow/self-determination-assessment-tools/arc-self-determination-scale" TargetMode="External"/><Relationship Id="rId14" Type="http://schemas.openxmlformats.org/officeDocument/2006/relationships/hyperlink" Target="https://www.pearsonassessments.com/store/usassessments/en/Store/Professional-Assessments/Academic-Learning/Comprehensive/Stanford-Achievement-Test-Series-|-Tenth-Edition/p/100000415.html" TargetMode="External"/><Relationship Id="rId22" Type="http://schemas.openxmlformats.org/officeDocument/2006/relationships/hyperlink" Target="https://us.talentlens.com/store/ustalentlens/en/Store/Ability/Bennett-Mechanical-Comprehension-Test-II/p/100001282.html" TargetMode="External"/><Relationship Id="rId27" Type="http://schemas.openxmlformats.org/officeDocument/2006/relationships/hyperlink" Target="https://www.curriculumassociates.com/about/press-releases/2010/01/brigance-transition-skills-inventory-supports-idea-transition-goals" TargetMode="External"/><Relationship Id="rId30" Type="http://schemas.openxmlformats.org/officeDocument/2006/relationships/hyperlink" Target="https://www.parinc.com/Products/Pkey/53" TargetMode="External"/><Relationship Id="rId35" Type="http://schemas.openxmlformats.org/officeDocument/2006/relationships/hyperlink" Target="http://www.truity.com/test/holland-code-career-test" TargetMode="External"/><Relationship Id="rId43" Type="http://schemas.openxmlformats.org/officeDocument/2006/relationships/hyperlink" Target="https://www.parinc.com/Products/Pkey/6526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s://www.ou.edu/education/centers-and-partnerships/zarrow/self-determination-assessment-tools/air-self-determination-assessm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earsonassessments.com/store/usassessments/en/Store/Professional-Assessments/Academic-Learning/Reading/Kaufman-Test-of-Educational-Achievement-|-Third-Edition/p/100000777.html" TargetMode="External"/><Relationship Id="rId17" Type="http://schemas.openxmlformats.org/officeDocument/2006/relationships/hyperlink" Target="https://www.pearsonassessments.com/store/usassessments/en/Store/Professional-Assessments/Behavior/Adaptive/Vineland-Adaptive-Behavior-Scales-|-Third-Edition/p/100001622.html" TargetMode="External"/><Relationship Id="rId25" Type="http://schemas.openxmlformats.org/officeDocument/2006/relationships/hyperlink" Target="https://transitioncoalition.org/blog/assessment-review/occupational-aptitude-survey-interest-schedule-oasis-3/" TargetMode="External"/><Relationship Id="rId33" Type="http://schemas.openxmlformats.org/officeDocument/2006/relationships/hyperlink" Target="http://www.cacareerzone.org/assessments" TargetMode="External"/><Relationship Id="rId38" Type="http://schemas.openxmlformats.org/officeDocument/2006/relationships/hyperlink" Target="https://www.onetcenter.org/IP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vocfit.com/support.html" TargetMode="External"/><Relationship Id="rId41" Type="http://schemas.openxmlformats.org/officeDocument/2006/relationships/hyperlink" Target="http://triwou.org/projects/tcn/topicspage/863/job-site-analysis-surve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u.edu/content/dam/Education/documents/personal-preference-indicat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5385D90ECF044B461D0897E55C109" ma:contentTypeVersion="12" ma:contentTypeDescription="Create a new document." ma:contentTypeScope="" ma:versionID="97e47a4900204182addd10183133d797">
  <xsd:schema xmlns:xsd="http://www.w3.org/2001/XMLSchema" xmlns:xs="http://www.w3.org/2001/XMLSchema" xmlns:p="http://schemas.microsoft.com/office/2006/metadata/properties" xmlns:ns2="77c02e8b-02b0-4424-99de-2918e0679adb" xmlns:ns3="3c1968ad-c3b0-47a1-a428-618a196236a8" targetNamespace="http://schemas.microsoft.com/office/2006/metadata/properties" ma:root="true" ma:fieldsID="17ace5d8f102b78b6c6e7609276289ec" ns2:_="" ns3:_="">
    <xsd:import namespace="77c02e8b-02b0-4424-99de-2918e0679adb"/>
    <xsd:import namespace="3c1968ad-c3b0-47a1-a428-618a19623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2e8b-02b0-4424-99de-2918e067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68ad-c3b0-47a1-a428-618a19623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C8A49-7865-4A8B-89CC-54514CF473F6}"/>
</file>

<file path=customXml/itemProps2.xml><?xml version="1.0" encoding="utf-8"?>
<ds:datastoreItem xmlns:ds="http://schemas.openxmlformats.org/officeDocument/2006/customXml" ds:itemID="{B05ADE01-E005-482A-A1D3-26D26E27FE10}"/>
</file>

<file path=customXml/itemProps3.xml><?xml version="1.0" encoding="utf-8"?>
<ds:datastoreItem xmlns:ds="http://schemas.openxmlformats.org/officeDocument/2006/customXml" ds:itemID="{F87420E0-1E0E-48E1-B1EF-85A2358E2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Phillips</dc:creator>
  <cp:keywords/>
  <dc:description/>
  <cp:lastModifiedBy>Elizabeth Falk</cp:lastModifiedBy>
  <cp:revision>2</cp:revision>
  <dcterms:created xsi:type="dcterms:W3CDTF">2021-04-20T14:17:00Z</dcterms:created>
  <dcterms:modified xsi:type="dcterms:W3CDTF">2021-04-20T14:17:00Z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0x0101002AF5385D90ECF044B461D0897E55C109</vt:lpwstr>
  </property>
</Properties>
</file>